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default" w:eastAsia="方正黑体_GBK" w:cs="宋体"/>
          <w:color w:val="000000"/>
          <w:kern w:val="0"/>
          <w:szCs w:val="32"/>
          <w:lang w:val="en-US" w:eastAsia="zh-CN"/>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-1</w:t>
      </w:r>
      <w:bookmarkStart w:id="1" w:name="_GoBack"/>
      <w:bookmarkEnd w:id="1"/>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w:t>
      </w: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引进优秀毕业生</w:t>
      </w:r>
      <w:r>
        <w:rPr>
          <w:rFonts w:hint="eastAsia" w:eastAsia="方正小标宋_GBK" w:cs="宋体"/>
          <w:color w:val="000000"/>
          <w:kern w:val="0"/>
          <w:sz w:val="40"/>
          <w:szCs w:val="32"/>
          <w:lang w:eastAsia="zh-CN"/>
        </w:rPr>
        <w:t>（</w:t>
      </w:r>
      <w:r>
        <w:rPr>
          <w:rFonts w:hint="eastAsia" w:eastAsia="方正小标宋_GBK" w:cs="宋体"/>
          <w:color w:val="000000"/>
          <w:kern w:val="0"/>
          <w:sz w:val="40"/>
          <w:szCs w:val="32"/>
          <w:lang w:val="en-US" w:eastAsia="zh-CN"/>
        </w:rPr>
        <w:t>第二批</w:t>
      </w:r>
      <w:r>
        <w:rPr>
          <w:rFonts w:hint="eastAsia" w:eastAsia="方正小标宋_GBK" w:cs="宋体"/>
          <w:color w:val="000000"/>
          <w:kern w:val="0"/>
          <w:sz w:val="40"/>
          <w:szCs w:val="32"/>
          <w:lang w:eastAsia="zh-CN"/>
        </w:rPr>
        <w:t>）</w:t>
      </w:r>
      <w:r>
        <w:rPr>
          <w:rFonts w:hint="eastAsia" w:eastAsia="方正小标宋_GBK" w:cs="宋体"/>
          <w:color w:val="000000"/>
          <w:kern w:val="0"/>
          <w:sz w:val="40"/>
          <w:szCs w:val="32"/>
        </w:rPr>
        <w:t>岗位表（事业单位）</w:t>
      </w: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p>
    <w:tbl>
      <w:tblPr>
        <w:tblStyle w:val="3"/>
        <w:tblW w:w="139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579"/>
        <w:gridCol w:w="2185"/>
        <w:gridCol w:w="731"/>
        <w:gridCol w:w="1322"/>
        <w:gridCol w:w="909"/>
        <w:gridCol w:w="2213"/>
        <w:gridCol w:w="180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blHeader/>
        </w:trPr>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代码</w:t>
            </w:r>
          </w:p>
        </w:tc>
        <w:tc>
          <w:tcPr>
            <w:tcW w:w="15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lang w:val="en-US"/>
              </w:rPr>
            </w:pPr>
            <w:r>
              <w:rPr>
                <w:rFonts w:hint="default" w:ascii="Times New Roman" w:hAnsi="Times New Roman" w:eastAsia="方正黑体_GBK" w:cs="Times New Roman"/>
                <w:color w:val="000000"/>
                <w:kern w:val="0"/>
                <w:sz w:val="22"/>
                <w:szCs w:val="22"/>
                <w:lang w:val="en-US" w:eastAsia="zh-CN" w:bidi="ar"/>
              </w:rPr>
              <w:t>单位名称</w:t>
            </w: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lang w:val="en-US"/>
              </w:rPr>
            </w:pPr>
            <w:r>
              <w:rPr>
                <w:rFonts w:hint="default" w:ascii="Times New Roman" w:hAnsi="Times New Roman" w:eastAsia="方正黑体_GBK" w:cs="Times New Roman"/>
                <w:color w:val="000000"/>
                <w:kern w:val="0"/>
                <w:sz w:val="22"/>
                <w:szCs w:val="22"/>
                <w:lang w:val="en-US" w:eastAsia="zh-CN" w:bidi="ar"/>
              </w:rPr>
              <w:t>报考岗位</w:t>
            </w:r>
          </w:p>
        </w:tc>
        <w:tc>
          <w:tcPr>
            <w:tcW w:w="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经费</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类型</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类别</w:t>
            </w:r>
          </w:p>
        </w:tc>
        <w:tc>
          <w:tcPr>
            <w:tcW w:w="9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招聘</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人数</w:t>
            </w:r>
          </w:p>
        </w:tc>
        <w:tc>
          <w:tcPr>
            <w:tcW w:w="22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学历学位</w:t>
            </w:r>
          </w:p>
        </w:tc>
        <w:tc>
          <w:tcPr>
            <w:tcW w:w="18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专业</w:t>
            </w:r>
          </w:p>
        </w:tc>
        <w:tc>
          <w:tcPr>
            <w:tcW w:w="24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001</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中共大丰区委党校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FF0000"/>
                <w:kern w:val="0"/>
                <w:sz w:val="20"/>
                <w:szCs w:val="20"/>
                <w:u w:val="none"/>
                <w:lang w:val="en-US" w:eastAsia="zh-CN" w:bidi="ar"/>
              </w:rPr>
              <w:t>党校教师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18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FF0000"/>
                <w:kern w:val="0"/>
                <w:sz w:val="20"/>
                <w:szCs w:val="20"/>
                <w:u w:val="none"/>
                <w:lang w:val="en-US" w:eastAsia="zh-CN" w:bidi="ar"/>
              </w:rPr>
              <w:t>党校教师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003</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农业干部学校教师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004</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大丰区融媒体中心</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区融媒体中心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中文文秘类、艺术类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005</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大丰区人力资源和社会保障局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区人才服务中心档案室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区人力资源和社会保障局档案室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区人力资源和社会保障信息管理中心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计算机（网络管理）类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区城乡居民社会养老保险管理中心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区劳动保险管理处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010</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大丰区人力资源和社会保障局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区劳动就业管理处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011</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大丰区工业和信息化局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区工业企业运行服务中心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电子信息类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012</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大丰区民政局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区社会福利有奖募捐办公室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013</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大丰区财政局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区国有企业监测服务中心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014</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大丰区自然资源和规划局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区不动产登记中心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测绘类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015</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区林业工作站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林业类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区林场</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林业类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区自然资源和规划局常高区大丰工业园分局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区自然资源和规划局苏盐合作园区分局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城建规划类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021</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大丰区住房和城乡建设局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区住房和城乡建设局经济开发区分局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区城建档案馆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计算机（网络管理）类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023</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大丰区住房和城乡建设局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区物业管理办公室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交通工程类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区拆迁管理办公室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土木工程类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025</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区园林管理处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026</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大丰区水利局</w:t>
            </w: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供排水管理处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区堤防管理处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区草堰翻水站管理所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区大丰闸管理所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区王港闸管理所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031</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033</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035</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万盈水利管理服务站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037</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大丰区水利局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新丰水利管理服务站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大丰港经济开发区水利管理服务站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040</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大丰区农业农村局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区农业区划办公室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041</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区植物保护站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区农业科学研究所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043</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大丰区文广旅局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区文化馆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戏剧、戏剧戏曲学、戏剧与影视学、戏剧影视文学、戏剧学、戏剧影视导演、导演、播音与主持艺术、舞蹈编导</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区上海知青纪念馆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045</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大丰区应急管理局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区安全生产宣传培训教育中心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046</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大丰区退役军人事务局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区烈士陵园管理处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047</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大丰区审计局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区固定资产投资审计中心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区计算机审计技术服务中心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049</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大丰区行政审批局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区公共资源交易中心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法律类、建筑工程类、经济类、中文文秘类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区沿海开发行政服务中心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计算机类、电子信息类、建筑工程类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051</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大丰区市场监管局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区综合检验检测中心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食品工程类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052</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大丰区司法局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江苏省盐城市大丰公证处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053</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大丰区港口口岸发展中心</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大丰港海洋监测预报中心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054</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大丰区教育局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区教育局基建办公室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土木工程类、建筑工程类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055</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大丰区卫健委</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056</w:t>
            </w:r>
          </w:p>
        </w:tc>
        <w:tc>
          <w:tcPr>
            <w:tcW w:w="1579" w:type="dxa"/>
            <w:vMerge w:val="restart"/>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江苏大丰港经济开发区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大丰港石化新材料产业园管理办公室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安全生产类、环境保护类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区政府境外招商二局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区政府新能源与新材料产业招商局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经济类、机械工程类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059</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斗龙港旅游度假区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区斗龙港旅游服务中心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060</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斗龙港旅游度假区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区斗龙港旅游服务中心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061</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大丰区草堰镇人民政府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062</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大丰区草堰镇人民政府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063</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064</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环境保护类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065</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大丰区白驹镇人民政府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066</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069</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大丰区刘庄镇人民政府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刘庄镇综合服务中心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070</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刘庄镇综合服务中心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工商管理类、公共管理类、经济类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071</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大丰区西团镇人民政府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西团镇综合服务中心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072</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大丰区西团镇人民政府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西团镇综合服务中心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073</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大丰区小海镇人民政府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074</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075</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大丰区小海镇人民政府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076</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大丰区大桥镇人民政府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城建规划类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079</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电子信息类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080</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大丰区草庙镇人民政府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081</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082</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大丰区万盈镇人民政府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万盈镇综合服务中心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083</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大丰区南阳镇人民政府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084</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大丰区南阳镇人民政府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085</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工商管理类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086</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大丰区三龙镇人民政府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089</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大丰区丰华街道办事处</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丰华街道综合服务中心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090</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丰华街道综合服务中心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091</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大丰区大中街道办事处</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092</w:t>
            </w:r>
          </w:p>
        </w:tc>
        <w:tc>
          <w:tcPr>
            <w:tcW w:w="15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统计类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093</w:t>
            </w:r>
          </w:p>
        </w:tc>
        <w:tc>
          <w:tcPr>
            <w:tcW w:w="15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line="480" w:lineRule="exact"/>
        <w:textAlignment w:val="auto"/>
        <w:rPr>
          <w:rStyle w:val="6"/>
          <w:rFonts w:hint="default" w:ascii="Times New Roman" w:hAnsi="Times New Roman"/>
          <w:lang w:bidi="ar"/>
        </w:rPr>
      </w:pPr>
      <w:bookmarkStart w:id="0" w:name="_Hlk87029813"/>
      <w:r>
        <w:rPr>
          <w:rStyle w:val="6"/>
          <w:rFonts w:hint="default" w:ascii="Times New Roman" w:hAnsi="Times New Roman"/>
          <w:lang w:bidi="ar"/>
        </w:rPr>
        <w:t>注：“专业”的设置目录为《江苏省2022年度考试录用公务员专业参考目录》，专业条件中还包括部分未列入专业参考目录但确有高等学校开设且有事业单位需要的专业。</w:t>
      </w:r>
      <w:bookmarkEnd w:id="0"/>
    </w:p>
    <w:p>
      <w:pPr>
        <w:widowControl/>
        <w:spacing w:line="600" w:lineRule="exact"/>
        <w:rPr>
          <w:rStyle w:val="6"/>
          <w:rFonts w:hint="default" w:ascii="Times New Roman" w:hAnsi="Times New Roman"/>
          <w:lang w:bidi="ar"/>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lang w:val="en-US" w:eastAsia="zh-CN"/>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-2</w:t>
      </w:r>
    </w:p>
    <w:p>
      <w:pPr>
        <w:widowControl/>
        <w:spacing w:line="400" w:lineRule="exact"/>
        <w:rPr>
          <w:rFonts w:hint="default" w:eastAsia="方正黑体_GBK" w:cs="宋体"/>
          <w:color w:val="000000"/>
          <w:kern w:val="0"/>
          <w:szCs w:val="32"/>
          <w:lang w:val="en-US" w:eastAsia="zh-CN"/>
        </w:rPr>
      </w:pPr>
    </w:p>
    <w:p>
      <w:pPr>
        <w:widowControl/>
        <w:spacing w:line="560" w:lineRule="exact"/>
        <w:jc w:val="center"/>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widowControl/>
        <w:spacing w:line="560" w:lineRule="exact"/>
        <w:jc w:val="center"/>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优秀毕业生岗位表（事业单位——</w:t>
      </w:r>
      <w:r>
        <w:rPr>
          <w:rFonts w:hint="eastAsia" w:eastAsia="方正小标宋_GBK" w:cs="宋体"/>
          <w:color w:val="000000"/>
          <w:kern w:val="0"/>
          <w:sz w:val="40"/>
          <w:szCs w:val="32"/>
          <w:lang w:val="en-US" w:eastAsia="zh-CN"/>
        </w:rPr>
        <w:t>学校教学类</w:t>
      </w:r>
      <w:r>
        <w:rPr>
          <w:rFonts w:hint="eastAsia" w:eastAsia="方正小标宋_GBK" w:cs="宋体"/>
          <w:color w:val="000000"/>
          <w:kern w:val="0"/>
          <w:sz w:val="40"/>
          <w:szCs w:val="32"/>
        </w:rPr>
        <w:t>岗位）</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eastAsia="方正小标宋_GBK" w:cs="宋体"/>
          <w:color w:val="000000"/>
          <w:kern w:val="0"/>
          <w:sz w:val="40"/>
          <w:szCs w:val="32"/>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9"/>
        <w:gridCol w:w="1664"/>
        <w:gridCol w:w="1582"/>
        <w:gridCol w:w="791"/>
        <w:gridCol w:w="995"/>
        <w:gridCol w:w="751"/>
        <w:gridCol w:w="1599"/>
        <w:gridCol w:w="3028"/>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2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代码</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单位名称</w:t>
            </w:r>
          </w:p>
        </w:tc>
        <w:tc>
          <w:tcPr>
            <w:tcW w:w="5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val="en-US" w:eastAsia="zh-CN" w:bidi="ar"/>
              </w:rPr>
              <w:t>报考岗位</w:t>
            </w:r>
          </w:p>
        </w:tc>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经费</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类型</w:t>
            </w:r>
          </w:p>
        </w:tc>
        <w:tc>
          <w:tcPr>
            <w:tcW w:w="35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岗位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类别</w:t>
            </w:r>
          </w:p>
        </w:tc>
        <w:tc>
          <w:tcPr>
            <w:tcW w:w="26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招聘人数</w:t>
            </w:r>
          </w:p>
        </w:tc>
        <w:tc>
          <w:tcPr>
            <w:tcW w:w="56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学历学位</w:t>
            </w:r>
          </w:p>
        </w:tc>
        <w:tc>
          <w:tcPr>
            <w:tcW w:w="106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专业</w:t>
            </w:r>
          </w:p>
        </w:tc>
        <w:tc>
          <w:tcPr>
            <w:tcW w:w="10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大丰高级中学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高中物理教师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098</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大丰区新丰中学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099</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高中心理教师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心理学、应用心理、应用心理学、基础心理学、发展与教育心理学、心理健康教育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3"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大丰区南阳中学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104</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高中生物教师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高中政治教师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高中历史教师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109</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大丰区实验初级中学益民路分校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初中生物教师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5"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119</w:t>
            </w:r>
          </w:p>
        </w:tc>
        <w:tc>
          <w:tcPr>
            <w:tcW w:w="5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大丰区城东实验初级中学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大丰区金丰路初级中学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初中历史教师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大丰区飞达路初级中学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初中政治教师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126</w:t>
            </w:r>
          </w:p>
        </w:tc>
        <w:tc>
          <w:tcPr>
            <w:tcW w:w="5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127</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9"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129</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小学音乐教师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132</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小学美术教师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小学信息教师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bl>
    <w:p>
      <w:pPr>
        <w:rPr>
          <w:rStyle w:val="7"/>
          <w:rFonts w:hint="default" w:ascii="Times New Roman" w:hAnsi="Times New Roman" w:eastAsia="方正仿宋_GBK" w:cs="Times New Roman"/>
          <w:w w:val="99"/>
          <w:sz w:val="22"/>
          <w:szCs w:val="22"/>
          <w:lang w:bidi="ar"/>
        </w:rPr>
      </w:pPr>
      <w:r>
        <w:rPr>
          <w:rStyle w:val="7"/>
          <w:rFonts w:hint="default" w:ascii="Times New Roman" w:hAnsi="Times New Roman" w:eastAsia="方正仿宋_GBK" w:cs="Times New Roman"/>
          <w:w w:val="99"/>
          <w:sz w:val="22"/>
          <w:szCs w:val="22"/>
          <w:lang w:bidi="ar"/>
        </w:rPr>
        <w:t>注：专业目录按教育部《普通高等学校本科专业目录（2020年版）》和《授予博士、硕士学位和培养研究生的学科、专业目录（1997年）》等执行。</w:t>
      </w: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小标宋_GBK" w:cs="宋体"/>
          <w:color w:val="000000"/>
          <w:kern w:val="0"/>
          <w:sz w:val="40"/>
          <w:szCs w:val="32"/>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-3</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eastAsia="方正黑体_GBK" w:cs="宋体"/>
          <w:color w:val="000000"/>
          <w:kern w:val="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sz w:val="40"/>
        </w:rPr>
      </w:pPr>
      <w:r>
        <w:rPr>
          <w:rFonts w:hint="eastAsia" w:eastAsia="方正小标宋_GBK" w:cs="宋体"/>
          <w:color w:val="000000"/>
          <w:kern w:val="0"/>
          <w:sz w:val="40"/>
          <w:szCs w:val="32"/>
        </w:rPr>
        <w:t>优秀毕业生岗位表（事业单位——</w:t>
      </w:r>
      <w:r>
        <w:rPr>
          <w:rFonts w:hint="eastAsia" w:eastAsia="方正小标宋_GBK" w:cs="宋体"/>
          <w:color w:val="000000"/>
          <w:kern w:val="0"/>
          <w:sz w:val="40"/>
          <w:szCs w:val="32"/>
          <w:lang w:val="en-US" w:eastAsia="zh-CN"/>
        </w:rPr>
        <w:t>医疗卫生类</w:t>
      </w:r>
      <w:r>
        <w:rPr>
          <w:rFonts w:hint="eastAsia" w:eastAsia="方正小标宋_GBK" w:cs="宋体"/>
          <w:color w:val="000000"/>
          <w:kern w:val="0"/>
          <w:sz w:val="40"/>
          <w:szCs w:val="32"/>
        </w:rPr>
        <w:t>岗位）</w:t>
      </w:r>
    </w:p>
    <w:p>
      <w:pPr>
        <w:keepNext w:val="0"/>
        <w:keepLines w:val="0"/>
        <w:pageBreakBefore w:val="0"/>
        <w:kinsoku/>
        <w:wordWrap/>
        <w:overflowPunct/>
        <w:topLinePunct w:val="0"/>
        <w:autoSpaceDE/>
        <w:autoSpaceDN/>
        <w:bidi w:val="0"/>
        <w:adjustRightInd/>
        <w:snapToGrid/>
        <w:spacing w:line="480" w:lineRule="exact"/>
        <w:textAlignment w:val="auto"/>
        <w:rPr>
          <w:rStyle w:val="7"/>
          <w:rFonts w:hint="default" w:ascii="Times New Roman" w:hAnsi="Times New Roman" w:eastAsia="方正仿宋_GBK" w:cs="Times New Roman"/>
          <w:w w:val="99"/>
          <w:sz w:val="22"/>
          <w:szCs w:val="22"/>
          <w:lang w:bidi="ar"/>
        </w:rPr>
      </w:pPr>
    </w:p>
    <w:tbl>
      <w:tblPr>
        <w:tblStyle w:val="3"/>
        <w:tblW w:w="139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536"/>
        <w:gridCol w:w="1800"/>
        <w:gridCol w:w="1023"/>
        <w:gridCol w:w="995"/>
        <w:gridCol w:w="750"/>
        <w:gridCol w:w="1677"/>
        <w:gridCol w:w="249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代码</w:t>
            </w:r>
          </w:p>
        </w:tc>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单位名称</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val="en-US" w:eastAsia="zh-CN" w:bidi="ar"/>
              </w:rPr>
              <w:t>报考岗位</w:t>
            </w:r>
          </w:p>
        </w:tc>
        <w:tc>
          <w:tcPr>
            <w:tcW w:w="10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经费</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类型</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岗位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类别</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招聘人数</w:t>
            </w:r>
          </w:p>
        </w:tc>
        <w:tc>
          <w:tcPr>
            <w:tcW w:w="16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学历学位</w:t>
            </w:r>
          </w:p>
        </w:tc>
        <w:tc>
          <w:tcPr>
            <w:tcW w:w="24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专业</w:t>
            </w:r>
          </w:p>
        </w:tc>
        <w:tc>
          <w:tcPr>
            <w:tcW w:w="2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134</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骨科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外科学（骨外）</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麻醉学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护理部</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护理学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神经病学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肾内科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内科学（肾病）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内科学（血液病）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感染性疾病科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内科学（传染病）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重症医学科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急诊医学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耳鼻咽喉科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耳鼻咽喉科学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影像医学与核医学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144</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超声诊疗科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影像医学与核医学</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护理部</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护理学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医疗服务协调办</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社会医学与卫生事业管理</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心内科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肝胆外科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泌尿外科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肿瘤科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急救医疗站</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疼痛科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中西医临床医学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介入科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医学影像学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预防保健科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158</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取得相应专业副高职称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心内科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呼吸内科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肾内科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内分泌科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肝胆外科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胃肠外科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甲乳科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泌尿外科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妇产科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感染性疾病科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儿科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肿瘤科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172</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大丰中医院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中医学、中西医临床医学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胸外科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重症医学科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取得相应专业副高职称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176</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大丰区疾病预防控制中心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流行病学与卫生统计学、公共卫生、公共卫生与预防医学、劳动卫生与环境卫生学</w:t>
            </w:r>
          </w:p>
        </w:tc>
        <w:tc>
          <w:tcPr>
            <w:tcW w:w="29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卫生检验、卫生检验与检疫、医学检验、医学检验技术</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179</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大丰区妇幼保健院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医学影像学、临床医学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医学检验、医学检验技术</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182</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大丰区第二人民医院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眼科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内科、外科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精神科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精神医学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186</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大丰区第二人民医院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公共卫生科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放射科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医学影像、医学影像学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default" w:ascii="Times New Roman" w:hAnsi="Times New Roman" w:eastAsia="方正仿宋_GBK" w:cs="Times New Roman"/>
          <w:w w:val="99"/>
          <w:sz w:val="22"/>
          <w:szCs w:val="22"/>
          <w:lang w:bidi="ar"/>
        </w:rPr>
      </w:pPr>
      <w:r>
        <w:rPr>
          <w:rStyle w:val="7"/>
          <w:rFonts w:hint="default" w:ascii="Times New Roman" w:hAnsi="Times New Roman" w:eastAsia="方正仿宋_GBK" w:cs="Times New Roman"/>
          <w:w w:val="99"/>
          <w:sz w:val="22"/>
          <w:szCs w:val="22"/>
          <w:lang w:bidi="ar"/>
        </w:rPr>
        <w:t>注：“专业”的设置目录为《江苏省2022年度考试录用公务员专业参考目录》，专业条件中还包括部分未列入专业参考目录但确有高等学校开设且有事业单位需要的专业。</w:t>
      </w:r>
    </w:p>
    <w:p>
      <w:pPr>
        <w:rPr>
          <w:rFonts w:hint="eastAsia" w:eastAsia="方正小标宋_GBK" w:cs="宋体"/>
          <w:color w:val="000000"/>
          <w:kern w:val="0"/>
          <w:sz w:val="40"/>
          <w:szCs w:val="32"/>
        </w:rPr>
      </w:pPr>
      <w:r>
        <w:rPr>
          <w:rFonts w:hint="eastAsia" w:eastAsia="方正小标宋_GBK" w:cs="宋体"/>
          <w:color w:val="000000"/>
          <w:kern w:val="0"/>
          <w:sz w:val="40"/>
          <w:szCs w:val="32"/>
        </w:rPr>
        <w:br w:type="page"/>
      </w:r>
    </w:p>
    <w:p>
      <w:pPr>
        <w:widowControl/>
        <w:spacing w:line="400" w:lineRule="exact"/>
        <w:rPr>
          <w:rFonts w:hint="default" w:eastAsia="方正小标宋_GBK" w:cs="宋体"/>
          <w:color w:val="000000"/>
          <w:kern w:val="0"/>
          <w:sz w:val="40"/>
          <w:szCs w:val="32"/>
          <w:lang w:val="en-US"/>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-4</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优秀毕业生岗位表（国有企业）</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tbl>
      <w:tblPr>
        <w:tblStyle w:val="3"/>
        <w:tblW w:w="13828"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463"/>
        <w:gridCol w:w="2140"/>
        <w:gridCol w:w="703"/>
        <w:gridCol w:w="1838"/>
        <w:gridCol w:w="3815"/>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exact"/>
          <w:tblHeader/>
        </w:trPr>
        <w:tc>
          <w:tcPr>
            <w:tcW w:w="7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岗位代码</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单位名称</w:t>
            </w:r>
          </w:p>
        </w:tc>
        <w:tc>
          <w:tcPr>
            <w:tcW w:w="21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报考岗位</w:t>
            </w:r>
          </w:p>
        </w:tc>
        <w:tc>
          <w:tcPr>
            <w:tcW w:w="7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招聘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人数</w:t>
            </w:r>
          </w:p>
        </w:tc>
        <w:tc>
          <w:tcPr>
            <w:tcW w:w="18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学历学位</w:t>
            </w:r>
          </w:p>
        </w:tc>
        <w:tc>
          <w:tcPr>
            <w:tcW w:w="3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专业</w:t>
            </w:r>
          </w:p>
        </w:tc>
        <w:tc>
          <w:tcPr>
            <w:tcW w:w="21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189</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大丰区城市建设集团有限公司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大丰区沪城污水处理有限公司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给水排水、给水排水工程、给排水工程</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190</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大丰区城乡规划市政设计院</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土地管理类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大丰区交通控股集团有限公司</w:t>
            </w:r>
            <w:r>
              <w:rPr>
                <w:rStyle w:val="10"/>
                <w:rFonts w:hint="default" w:ascii="Times New Roman" w:hAnsi="Times New Roman" w:eastAsia="方正仿宋_GBK" w:cs="Times New Roman"/>
                <w:lang w:val="en-US" w:eastAsia="zh-CN" w:bidi="ar"/>
              </w:rPr>
              <w:t xml:space="preserve">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大丰区交通控股集团有限公司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交通工程类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盐城市斗龙港生态旅游度假集团有限公司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盐城市斗龙港开发建设有限公司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大丰区文化旅游集团有限公司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盐城大丰世遗黄海湿地公园有限公司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生物工程类、环境保护类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194</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江苏大丰仓农业集团有限公司</w:t>
            </w:r>
          </w:p>
        </w:tc>
        <w:tc>
          <w:tcPr>
            <w:tcW w:w="2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江苏大丰仓农业集团有限公司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市场营销、电子商务、电子商务及法律</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195</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市场营销、电子商务、电子商务及法律</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196</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大丰区高鑫投资有限责任公司</w:t>
            </w:r>
          </w:p>
        </w:tc>
        <w:tc>
          <w:tcPr>
            <w:tcW w:w="2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大丰区高鑫投资有限责任公司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工程管理、工程造价、工程造价管理</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197</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bl>
    <w:p>
      <w:pPr>
        <w:widowControl/>
        <w:spacing w:line="400" w:lineRule="exact"/>
        <w:rPr>
          <w:rFonts w:hint="eastAsia" w:eastAsia="方正黑体_GBK" w:cs="宋体"/>
          <w:color w:val="000000"/>
          <w:kern w:val="0"/>
          <w:szCs w:val="32"/>
        </w:rPr>
      </w:pPr>
    </w:p>
    <w:p>
      <w:pPr>
        <w:widowControl/>
        <w:spacing w:line="400" w:lineRule="exact"/>
        <w:rPr>
          <w:rFonts w:hint="default" w:eastAsia="方正小标宋_GBK" w:cs="宋体"/>
          <w:color w:val="000000"/>
          <w:kern w:val="0"/>
          <w:sz w:val="40"/>
          <w:szCs w:val="32"/>
          <w:lang w:val="en-US"/>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-5</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w:t>
      </w:r>
      <w:r>
        <w:rPr>
          <w:rFonts w:hint="eastAsia" w:eastAsia="方正小标宋_GBK" w:cs="宋体"/>
          <w:color w:val="000000"/>
          <w:kern w:val="0"/>
          <w:sz w:val="40"/>
          <w:szCs w:val="32"/>
          <w:lang w:val="en-US" w:eastAsia="zh-CN"/>
        </w:rPr>
        <w:t>民营</w:t>
      </w:r>
      <w:r>
        <w:rPr>
          <w:rFonts w:hint="eastAsia" w:eastAsia="方正小标宋_GBK" w:cs="宋体"/>
          <w:color w:val="000000"/>
          <w:kern w:val="0"/>
          <w:sz w:val="40"/>
          <w:szCs w:val="32"/>
        </w:rPr>
        <w:t>企业）</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tbl>
      <w:tblPr>
        <w:tblStyle w:val="3"/>
        <w:tblW w:w="1383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2463"/>
        <w:gridCol w:w="1915"/>
        <w:gridCol w:w="722"/>
        <w:gridCol w:w="2044"/>
        <w:gridCol w:w="329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exact"/>
          <w:tblHeader/>
        </w:trPr>
        <w:tc>
          <w:tcPr>
            <w:tcW w:w="731"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岗位代码</w:t>
            </w:r>
          </w:p>
        </w:tc>
        <w:tc>
          <w:tcPr>
            <w:tcW w:w="2463"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单位名称</w:t>
            </w:r>
          </w:p>
        </w:tc>
        <w:tc>
          <w:tcPr>
            <w:tcW w:w="1915"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报考岗位</w:t>
            </w:r>
          </w:p>
        </w:tc>
        <w:tc>
          <w:tcPr>
            <w:tcW w:w="722" w:type="dxa"/>
            <w:shd w:val="clear" w:color="auto" w:fill="auto"/>
            <w:vAlign w:val="center"/>
          </w:tcPr>
          <w:p>
            <w:pPr>
              <w:widowControl/>
              <w:spacing w:line="280" w:lineRule="exact"/>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招聘</w:t>
            </w:r>
          </w:p>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人数</w:t>
            </w:r>
          </w:p>
        </w:tc>
        <w:tc>
          <w:tcPr>
            <w:tcW w:w="2044"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学历学位</w:t>
            </w:r>
          </w:p>
        </w:tc>
        <w:tc>
          <w:tcPr>
            <w:tcW w:w="3290"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专业</w:t>
            </w:r>
          </w:p>
        </w:tc>
        <w:tc>
          <w:tcPr>
            <w:tcW w:w="2672"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198</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江苏正大丰海制药有限公司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合成研发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化学相关专业</w:t>
            </w:r>
          </w:p>
        </w:tc>
        <w:tc>
          <w:tcPr>
            <w:tcW w:w="26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1、民营企业；2、待遇8000-10000元/月</w:t>
            </w:r>
            <w:r>
              <w:rPr>
                <w:rFonts w:hint="eastAsia" w:cs="Times New Roman"/>
                <w:i w:val="0"/>
                <w:iCs w:val="0"/>
                <w:color w:val="000000"/>
                <w:kern w:val="0"/>
                <w:sz w:val="20"/>
                <w:szCs w:val="20"/>
                <w:u w:val="none"/>
                <w:lang w:val="en-US" w:eastAsia="zh-CN" w:bidi="ar"/>
              </w:rPr>
              <w:t>；3、联系人：陈勇，13236106150；4、公司网址：www.ctfh.com.cn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199</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分析研发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药学、食品相关专业</w:t>
            </w:r>
          </w:p>
        </w:tc>
        <w:tc>
          <w:tcPr>
            <w:tcW w:w="26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制剂研发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药物制剂相关专业</w:t>
            </w:r>
          </w:p>
        </w:tc>
        <w:tc>
          <w:tcPr>
            <w:tcW w:w="26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201</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药学、化学相关专业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QA、QC</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药学、食品、化学相关专业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203</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设备工程师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自动化相关专业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204</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江苏中车电机有限公司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机械、电气、轴承</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1、民营企业；2、应届毕业生；3、年薪9万-15万</w:t>
            </w:r>
            <w:r>
              <w:rPr>
                <w:rFonts w:hint="eastAsia" w:cs="Times New Roman"/>
                <w:i w:val="0"/>
                <w:iCs w:val="0"/>
                <w:color w:val="000000"/>
                <w:kern w:val="0"/>
                <w:sz w:val="20"/>
                <w:szCs w:val="20"/>
                <w:u w:val="none"/>
                <w:lang w:val="en-US" w:eastAsia="zh-CN" w:bidi="ar"/>
              </w:rPr>
              <w:t>；4、联系人：黄彪，13975323532；5、公司网址：https://www.crrcgc.cc/zzdj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205</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质量工程师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质量管理工程、工业工程、电机、机械、材料、焊接</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206</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江苏金风科技有限公司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实验工程师（齿轮油方向）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机械、机电、力学相关专业</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1、民营企业；2、待遇10000-12000元/月</w:t>
            </w:r>
            <w:r>
              <w:rPr>
                <w:rFonts w:hint="eastAsia" w:cs="Times New Roman"/>
                <w:i w:val="0"/>
                <w:iCs w:val="0"/>
                <w:color w:val="000000"/>
                <w:kern w:val="0"/>
                <w:sz w:val="20"/>
                <w:szCs w:val="20"/>
                <w:u w:val="none"/>
                <w:lang w:val="en-US" w:eastAsia="zh-CN" w:bidi="ar"/>
              </w:rPr>
              <w:t>；3、联系人：徐冬梅，15851001528；4、公司网址：http://goldwind.zhiye.com/campus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207</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实验工程师（实验技术研究方向）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机械，机电，力学，自动化相关专业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6"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208</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江苏丰东热技术有限公司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机械设计工程师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机械设计</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1、民营企业；2、熟悉CAD、Solidworks等应用软件，英语四级；3、待遇8000-10000元/月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209</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电气设计工程师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电气或自动化</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1、民营企业；2、熟练使用相关电气设计软件，英语四级；3、待遇8000-10000元/月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210</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软件工程师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软件工程</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1、民营企业；2、熟悉软件设计相关知识，熟练应用软件编程工具，英语四级；3、待遇8000-10000元/月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211</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金属材料</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1、民营企业；2、熟悉金属材料、热处理工艺相关知识，英语四级；3、待遇8000-10000元/月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212</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江苏森威精锻有限公司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技术工程师（锻造）</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塑性成形、材料成型等相关专业</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1、民营企业；2、待遇8000-10000元/月</w:t>
            </w:r>
            <w:r>
              <w:rPr>
                <w:rFonts w:hint="eastAsia" w:cs="Times New Roman"/>
                <w:i w:val="0"/>
                <w:iCs w:val="0"/>
                <w:color w:val="000000"/>
                <w:kern w:val="0"/>
                <w:sz w:val="20"/>
                <w:szCs w:val="20"/>
                <w:u w:val="none"/>
                <w:lang w:val="en-US" w:eastAsia="zh-CN" w:bidi="ar"/>
              </w:rPr>
              <w:t>；3、联系人：李丹丹，18361192746；4、公司网址：http://www.js-spf.com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213</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会计</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会计相关专业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人事</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人力资源管理相关专业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adjustRightInd/>
        <w:snapToGrid/>
        <w:spacing w:line="20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 PAGE  \* MERGEFORMAT </w:instrText>
                          </w:r>
                          <w:r>
                            <w:rPr>
                              <w:rStyle w:val="5"/>
                              <w:rFonts w:hint="eastAsia" w:ascii="宋体" w:hAnsi="宋体" w:eastAsia="宋体"/>
                              <w:sz w:val="28"/>
                              <w:szCs w:val="28"/>
                            </w:rPr>
                            <w:fldChar w:fldCharType="separate"/>
                          </w:r>
                          <w:r>
                            <w:rPr>
                              <w:rStyle w:val="5"/>
                              <w:rFonts w:hint="eastAsia" w:ascii="宋体" w:hAnsi="宋体" w:eastAsia="宋体"/>
                              <w:sz w:val="28"/>
                              <w:szCs w:val="28"/>
                            </w:rPr>
                            <w:t>9</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 PAGE  \* MERGEFORMAT </w:instrText>
                    </w:r>
                    <w:r>
                      <w:rPr>
                        <w:rStyle w:val="5"/>
                        <w:rFonts w:hint="eastAsia" w:ascii="宋体" w:hAnsi="宋体" w:eastAsia="宋体"/>
                        <w:sz w:val="28"/>
                        <w:szCs w:val="28"/>
                      </w:rPr>
                      <w:fldChar w:fldCharType="separate"/>
                    </w:r>
                    <w:r>
                      <w:rPr>
                        <w:rStyle w:val="5"/>
                        <w:rFonts w:hint="eastAsia" w:ascii="宋体" w:hAnsi="宋体" w:eastAsia="宋体"/>
                        <w:sz w:val="28"/>
                        <w:szCs w:val="28"/>
                      </w:rPr>
                      <w:t>9</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3291"/>
    <w:rsid w:val="05EA5629"/>
    <w:rsid w:val="1593341E"/>
    <w:rsid w:val="160937DE"/>
    <w:rsid w:val="1A044015"/>
    <w:rsid w:val="1C3F09BA"/>
    <w:rsid w:val="24086419"/>
    <w:rsid w:val="24A85198"/>
    <w:rsid w:val="2B3761B4"/>
    <w:rsid w:val="3DCA4606"/>
    <w:rsid w:val="3DDC265A"/>
    <w:rsid w:val="40F40641"/>
    <w:rsid w:val="44A91997"/>
    <w:rsid w:val="45D872AB"/>
    <w:rsid w:val="4C97751D"/>
    <w:rsid w:val="4F966D5F"/>
    <w:rsid w:val="51570A53"/>
    <w:rsid w:val="55CC16A6"/>
    <w:rsid w:val="5D262F2C"/>
    <w:rsid w:val="66C51FCA"/>
    <w:rsid w:val="6BEC358E"/>
    <w:rsid w:val="707E7005"/>
    <w:rsid w:val="7D11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character" w:customStyle="1" w:styleId="6">
    <w:name w:val="font31"/>
    <w:qFormat/>
    <w:uiPriority w:val="0"/>
    <w:rPr>
      <w:rFonts w:hint="eastAsia" w:ascii="方正仿宋_GBK" w:hAnsi="方正仿宋_GBK" w:eastAsia="方正仿宋_GBK" w:cs="方正仿宋_GBK"/>
      <w:color w:val="000000"/>
      <w:sz w:val="22"/>
      <w:szCs w:val="22"/>
      <w:u w:val="none"/>
    </w:rPr>
  </w:style>
  <w:style w:type="character" w:customStyle="1" w:styleId="7">
    <w:name w:val="font91"/>
    <w:qFormat/>
    <w:uiPriority w:val="0"/>
    <w:rPr>
      <w:rFonts w:ascii="方正书宋简体" w:hAnsi="方正书宋简体" w:eastAsia="方正书宋简体" w:cs="方正书宋简体"/>
      <w:color w:val="000000"/>
      <w:sz w:val="21"/>
      <w:szCs w:val="21"/>
      <w:u w:val="none"/>
    </w:rPr>
  </w:style>
  <w:style w:type="character" w:customStyle="1" w:styleId="8">
    <w:name w:val="font51"/>
    <w:basedOn w:val="4"/>
    <w:qFormat/>
    <w:uiPriority w:val="0"/>
    <w:rPr>
      <w:rFonts w:hint="eastAsia" w:ascii="方正仿宋_GBK" w:hAnsi="方正仿宋_GBK" w:eastAsia="方正仿宋_GBK" w:cs="方正仿宋_GBK"/>
      <w:color w:val="000000"/>
      <w:sz w:val="20"/>
      <w:szCs w:val="20"/>
      <w:u w:val="none"/>
    </w:rPr>
  </w:style>
  <w:style w:type="character" w:customStyle="1" w:styleId="9">
    <w:name w:val="font41"/>
    <w:basedOn w:val="4"/>
    <w:qFormat/>
    <w:uiPriority w:val="0"/>
    <w:rPr>
      <w:rFonts w:hint="default" w:ascii="Times New Roman" w:hAnsi="Times New Roman" w:cs="Times New Roman"/>
      <w:color w:val="000000"/>
      <w:sz w:val="20"/>
      <w:szCs w:val="20"/>
      <w:u w:val="none"/>
    </w:rPr>
  </w:style>
  <w:style w:type="character" w:customStyle="1" w:styleId="10">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2021-11-12T10:40:00Z</dcterms:created>
  <dc:creator>Administrator</dc:creator>
  <cp:lastModifiedBy>Begin.</cp:lastModifiedBy>
  <cp:lastPrinted>2022-03-18T09:31:57Z</cp:lastPrinted>
  <dcterms:modified xsi:type="dcterms:W3CDTF">2022-03-18T09:36:45Z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1A73310490404CEF9523AD816742A391</vt:lpwstr>
  </property>
</Properties>
</file>